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655BF2" w:rsidRDefault="003154A2" w:rsidP="00225E6A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655BF2">
        <w:rPr>
          <w:rFonts w:ascii="Arial" w:hAnsi="Arial" w:cs="Arial"/>
          <w:b/>
          <w:sz w:val="28"/>
          <w:szCs w:val="28"/>
        </w:rPr>
        <w:t xml:space="preserve">PROGRAMA </w:t>
      </w:r>
      <w:r w:rsidR="0081752E" w:rsidRPr="00655BF2">
        <w:rPr>
          <w:rFonts w:ascii="Arial" w:hAnsi="Arial" w:cs="Arial"/>
          <w:b/>
          <w:sz w:val="28"/>
          <w:szCs w:val="28"/>
        </w:rPr>
        <w:t>42</w:t>
      </w:r>
      <w:r w:rsidR="005424FE" w:rsidRPr="00655BF2">
        <w:rPr>
          <w:rFonts w:ascii="Arial" w:hAnsi="Arial" w:cs="Arial"/>
          <w:b/>
          <w:sz w:val="28"/>
          <w:szCs w:val="28"/>
        </w:rPr>
        <w:t>HA</w:t>
      </w:r>
    </w:p>
    <w:p w:rsidR="003154A2" w:rsidRPr="00655BF2" w:rsidRDefault="005424FE" w:rsidP="00225E6A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655BF2">
        <w:rPr>
          <w:rFonts w:ascii="Arial" w:hAnsi="Arial" w:cs="Arial"/>
          <w:b/>
          <w:sz w:val="26"/>
          <w:szCs w:val="26"/>
        </w:rPr>
        <w:t xml:space="preserve">C08.I01 </w:t>
      </w:r>
      <w:r w:rsidR="00257645" w:rsidRPr="00655BF2">
        <w:rPr>
          <w:rFonts w:ascii="Arial" w:hAnsi="Arial" w:cs="Arial"/>
          <w:b/>
          <w:sz w:val="26"/>
          <w:szCs w:val="26"/>
        </w:rPr>
        <w:t>DESPLIEGUE DEL ALMACENAMIENTO ENERGÉTICO</w:t>
      </w:r>
    </w:p>
    <w:p w:rsidR="00517824" w:rsidRPr="00517824" w:rsidRDefault="00517824" w:rsidP="00225E6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257645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5424FE" w:rsidP="00225E6A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Infraestructuras eléctricas, promoción de redes inteligentes y despliegue de la flexibilidad y el almacenamiento.</w:t>
      </w:r>
    </w:p>
    <w:p w:rsidR="00517824" w:rsidRPr="00517824" w:rsidRDefault="00517824" w:rsidP="00225E6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257645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C0204D" w:rsidRDefault="005424FE" w:rsidP="00225E6A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El objetivo principal de esta componente es asegurar la transformación del sistema energético para garantizar que sea flexible, robusto y </w:t>
      </w:r>
      <w:proofErr w:type="spellStart"/>
      <w:r w:rsidRPr="005424FE">
        <w:rPr>
          <w:rFonts w:ascii="Arial" w:hAnsi="Arial" w:cs="Arial"/>
          <w:sz w:val="22"/>
          <w:szCs w:val="22"/>
        </w:rPr>
        <w:t>resiliente</w:t>
      </w:r>
      <w:proofErr w:type="spellEnd"/>
      <w:r w:rsidRPr="005424FE">
        <w:rPr>
          <w:rFonts w:ascii="Arial" w:hAnsi="Arial" w:cs="Arial"/>
          <w:sz w:val="22"/>
          <w:szCs w:val="22"/>
        </w:rPr>
        <w:t>, de modo que pueda estar basado fundamentalmente en energías renovables. Esta componente es, por tanto, elemento habilitador para el desarrollo de la componente “7. Despliegue masivo del parque de generación renovable”</w:t>
      </w:r>
      <w:r w:rsidR="00257645">
        <w:rPr>
          <w:rFonts w:ascii="Arial" w:hAnsi="Arial" w:cs="Arial"/>
          <w:sz w:val="22"/>
          <w:szCs w:val="22"/>
        </w:rPr>
        <w:t>.</w:t>
      </w:r>
    </w:p>
    <w:p w:rsidR="00517824" w:rsidRDefault="00517824" w:rsidP="00225E6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257645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5424FE" w:rsidRPr="00655BF2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655BF2">
        <w:rPr>
          <w:rFonts w:ascii="Arial" w:hAnsi="Arial" w:cs="Arial"/>
          <w:sz w:val="22"/>
          <w:szCs w:val="22"/>
        </w:rPr>
        <w:t>Como objetivos específicos se encuentran:</w:t>
      </w:r>
    </w:p>
    <w:p w:rsidR="005424FE" w:rsidRPr="005424FE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Despliegue de las tecnologías de almacenamiento para conseguir la senda de </w:t>
      </w:r>
      <w:proofErr w:type="spellStart"/>
      <w:r w:rsidRPr="005424FE">
        <w:rPr>
          <w:rFonts w:ascii="Arial" w:hAnsi="Arial" w:cs="Arial"/>
          <w:sz w:val="22"/>
          <w:szCs w:val="22"/>
        </w:rPr>
        <w:t>descarbonización</w:t>
      </w:r>
      <w:proofErr w:type="spellEnd"/>
      <w:r w:rsidRPr="005424FE">
        <w:rPr>
          <w:rFonts w:ascii="Arial" w:hAnsi="Arial" w:cs="Arial"/>
          <w:sz w:val="22"/>
          <w:szCs w:val="22"/>
        </w:rPr>
        <w:t>, al tiempo que se desarrollan los recursos técnicos y humanos para alcanzar el liderazgo en el sector a lo largo de la cadena de valor.</w:t>
      </w:r>
    </w:p>
    <w:p w:rsidR="005424FE" w:rsidRPr="005424FE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Despliegue y actualización tecnológica de las redes de distribución de energía eléctrica de cara a la integración de las energías renovables, la gestión de la demanda y la progresiva electrificación de usos finales de energía.</w:t>
      </w:r>
    </w:p>
    <w:p w:rsidR="005424FE" w:rsidRPr="005424FE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Acelerar la innovación técnica, de gestión y regulatoria, estableciendo el desarrollo de “</w:t>
      </w:r>
      <w:proofErr w:type="spellStart"/>
      <w:r w:rsidRPr="005424FE">
        <w:rPr>
          <w:rFonts w:ascii="Arial" w:hAnsi="Arial" w:cs="Arial"/>
          <w:sz w:val="22"/>
          <w:szCs w:val="22"/>
        </w:rPr>
        <w:t>sandboxes</w:t>
      </w:r>
      <w:proofErr w:type="spellEnd"/>
      <w:r w:rsidRPr="005424FE">
        <w:rPr>
          <w:rFonts w:ascii="Arial" w:hAnsi="Arial" w:cs="Arial"/>
          <w:sz w:val="22"/>
          <w:szCs w:val="22"/>
        </w:rPr>
        <w:t>” o bancos de pruebas regulatorios, que permitan testar nuevas soluciones en entornos controlados de forma previa a un despliegue generalizado de las mismas.</w:t>
      </w:r>
    </w:p>
    <w:p w:rsidR="005424FE" w:rsidRPr="005424FE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Impulsar nuevos mecanismos que doten de flexibilidad al sistema energético, tales como los </w:t>
      </w:r>
      <w:proofErr w:type="spellStart"/>
      <w:r w:rsidRPr="005424FE">
        <w:rPr>
          <w:rFonts w:ascii="Arial" w:hAnsi="Arial" w:cs="Arial"/>
          <w:sz w:val="22"/>
          <w:szCs w:val="22"/>
        </w:rPr>
        <w:t>agregadores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 energéticos, u otras formas de gestión de la demanda.</w:t>
      </w:r>
    </w:p>
    <w:p w:rsidR="00C0204D" w:rsidRDefault="005424FE" w:rsidP="00225E6A">
      <w:pPr>
        <w:pStyle w:val="Prrafodelista"/>
        <w:numPr>
          <w:ilvl w:val="0"/>
          <w:numId w:val="10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Implantar sistemas de </w:t>
      </w:r>
      <w:proofErr w:type="spellStart"/>
      <w:r w:rsidRPr="005424FE">
        <w:rPr>
          <w:rFonts w:ascii="Arial" w:hAnsi="Arial" w:cs="Arial"/>
          <w:sz w:val="22"/>
          <w:szCs w:val="22"/>
        </w:rPr>
        <w:t>submetering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, comunicación y control en puntos de consumo, tanto residenciales, como de servicios e industriales. A fin de facilitar la introducción en el mercado de nuevos agentes, apoyar económicamente el desarrollo de plataformas de agregación de figuras jurídicas que no estén vinculadas con la comercializadora (ej. </w:t>
      </w:r>
      <w:proofErr w:type="spellStart"/>
      <w:r w:rsidRPr="005424FE">
        <w:rPr>
          <w:rFonts w:ascii="Arial" w:hAnsi="Arial" w:cs="Arial"/>
          <w:sz w:val="22"/>
          <w:szCs w:val="22"/>
        </w:rPr>
        <w:t>agregadores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 independientes o comunidades de energía renovable).</w:t>
      </w:r>
    </w:p>
    <w:p w:rsidR="00517824" w:rsidRPr="00517824" w:rsidRDefault="00517824" w:rsidP="00225E6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257645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5424FE" w:rsidRPr="005424FE" w:rsidRDefault="005424FE" w:rsidP="00225E6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El programa 42HA “C08.I01 Despliegue del almacenamiento energético” asume diversas líneas de actuación para la realización de inversiones y/o ayudas en materia de Transición Energética dentro de las competencias de la Secretaría de Estado de Energía, de forma coordinada del Instituto para la Diversificación y Ahorro de la Energía (IDAE).</w:t>
      </w:r>
    </w:p>
    <w:p w:rsidR="005424FE" w:rsidRPr="005424FE" w:rsidRDefault="005424FE" w:rsidP="00225E6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La movilización de estos fondos se realizará bien a través de actuaciones de ayudas y subvenciones a fondo perdido o bien mediante inversiones financieras, en función de las características y necesidades de cada segmento del sector energético objeto de las inversiones, así como de los criterios fijados por el Marco de Recuperación y Resiliencia. </w:t>
      </w:r>
    </w:p>
    <w:p w:rsidR="00517824" w:rsidRDefault="005424FE" w:rsidP="00225E6A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 xml:space="preserve">Con ello se pretende implementar las medidas prevista en el PNIEC para la gestión de incentivos públicos y el dar cumplimiento a los objetivos establecidos para el 2030: eficiencia energética, </w:t>
      </w:r>
      <w:proofErr w:type="spellStart"/>
      <w:r w:rsidRPr="005424FE">
        <w:rPr>
          <w:rFonts w:ascii="Arial" w:hAnsi="Arial" w:cs="Arial"/>
          <w:sz w:val="22"/>
          <w:szCs w:val="22"/>
        </w:rPr>
        <w:t>descarbonización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 y energías renovables</w:t>
      </w:r>
      <w:r w:rsidR="00A04914" w:rsidRPr="00A04914">
        <w:rPr>
          <w:rFonts w:ascii="Arial" w:hAnsi="Arial" w:cs="Arial"/>
          <w:sz w:val="22"/>
          <w:szCs w:val="22"/>
        </w:rPr>
        <w:t>.</w:t>
      </w:r>
    </w:p>
    <w:p w:rsidR="004A3CC3" w:rsidRDefault="00517824" w:rsidP="00225E6A">
      <w:pPr>
        <w:spacing w:before="120" w:after="120" w:line="360" w:lineRule="auto"/>
        <w:ind w:right="-1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257645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DB77BF" w:rsidRPr="00EE577C" w:rsidRDefault="00EE577C" w:rsidP="00225E6A">
      <w:pPr>
        <w:spacing w:before="100"/>
        <w:ind w:left="-1985"/>
        <w:jc w:val="right"/>
        <w:rPr>
          <w:rFonts w:ascii="Arial" w:hAnsi="Arial" w:cs="Arial"/>
          <w:b/>
          <w:sz w:val="18"/>
          <w:szCs w:val="18"/>
        </w:rPr>
      </w:pPr>
      <w:r w:rsidRPr="00EE577C">
        <w:rPr>
          <w:rFonts w:ascii="Arial" w:hAnsi="Arial" w:cs="Arial"/>
          <w:b/>
          <w:sz w:val="18"/>
          <w:szCs w:val="18"/>
        </w:rPr>
        <w:t>(M</w:t>
      </w:r>
      <w:r w:rsidR="00225E6A" w:rsidRPr="00EE577C">
        <w:rPr>
          <w:rFonts w:ascii="Arial" w:hAnsi="Arial" w:cs="Arial"/>
          <w:b/>
          <w:sz w:val="18"/>
          <w:szCs w:val="18"/>
        </w:rPr>
        <w:t xml:space="preserve">iles de </w:t>
      </w:r>
      <w:r w:rsidR="00DB77BF" w:rsidRPr="00EE577C">
        <w:rPr>
          <w:rFonts w:ascii="Arial" w:hAnsi="Arial" w:cs="Arial"/>
          <w:b/>
          <w:sz w:val="18"/>
          <w:szCs w:val="18"/>
        </w:rPr>
        <w:t>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076"/>
        <w:gridCol w:w="828"/>
        <w:gridCol w:w="825"/>
        <w:gridCol w:w="824"/>
        <w:gridCol w:w="824"/>
        <w:gridCol w:w="824"/>
        <w:gridCol w:w="825"/>
        <w:gridCol w:w="798"/>
        <w:gridCol w:w="851"/>
      </w:tblGrid>
      <w:tr w:rsidR="004A3CC3" w:rsidRPr="00DB77BF" w:rsidTr="002E3DB9">
        <w:trPr>
          <w:trHeight w:val="337"/>
          <w:tblHeader/>
          <w:jc w:val="center"/>
        </w:trPr>
        <w:tc>
          <w:tcPr>
            <w:tcW w:w="2112" w:type="dxa"/>
            <w:vAlign w:val="center"/>
          </w:tcPr>
          <w:p w:rsidR="004A3CC3" w:rsidRPr="002E3DB9" w:rsidRDefault="00225E6A" w:rsidP="006010D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839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37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36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36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36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37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09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863" w:type="dxa"/>
            <w:vAlign w:val="center"/>
          </w:tcPr>
          <w:p w:rsidR="004A3CC3" w:rsidRPr="002E3DB9" w:rsidRDefault="00225E6A" w:rsidP="00225E6A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4A3CC3" w:rsidRPr="00DB77BF" w:rsidTr="002E3DB9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839" w:type="dxa"/>
            <w:vAlign w:val="center"/>
          </w:tcPr>
          <w:p w:rsidR="004A3CC3" w:rsidRPr="002E3DB9" w:rsidRDefault="004A3CC3" w:rsidP="002E3DB9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107.000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289.000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288.000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684.000</w:t>
            </w:r>
          </w:p>
        </w:tc>
      </w:tr>
      <w:tr w:rsidR="004A3CC3" w:rsidRPr="00DB77BF" w:rsidTr="002E3DB9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839" w:type="dxa"/>
            <w:vAlign w:val="center"/>
          </w:tcPr>
          <w:p w:rsidR="004A3CC3" w:rsidRPr="002E3DB9" w:rsidRDefault="004A3CC3" w:rsidP="002E3DB9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63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3CC3" w:rsidRPr="00DB77BF" w:rsidTr="002E3DB9">
        <w:trPr>
          <w:trHeight w:hRule="exact" w:val="340"/>
          <w:jc w:val="center"/>
        </w:trPr>
        <w:tc>
          <w:tcPr>
            <w:tcW w:w="2112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E3DB9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839" w:type="dxa"/>
            <w:vAlign w:val="center"/>
          </w:tcPr>
          <w:p w:rsidR="004A3CC3" w:rsidRPr="002E3DB9" w:rsidRDefault="004A3CC3" w:rsidP="002E3DB9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107.000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289.000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288.000</w:t>
            </w:r>
          </w:p>
        </w:tc>
        <w:tc>
          <w:tcPr>
            <w:tcW w:w="836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9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4A3CC3" w:rsidRPr="002E3DB9" w:rsidRDefault="004A3CC3" w:rsidP="00EE577C">
            <w:pPr>
              <w:spacing w:before="60" w:after="60"/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DB9">
              <w:rPr>
                <w:rFonts w:ascii="Arial" w:hAnsi="Arial" w:cs="Arial"/>
                <w:sz w:val="18"/>
                <w:szCs w:val="18"/>
              </w:rPr>
              <w:t>684.000</w:t>
            </w:r>
          </w:p>
        </w:tc>
      </w:tr>
    </w:tbl>
    <w:p w:rsidR="00517824" w:rsidRPr="00517824" w:rsidRDefault="00517824" w:rsidP="00225E6A">
      <w:pPr>
        <w:spacing w:before="24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257645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5424FE" w:rsidRPr="005424FE" w:rsidRDefault="005424FE" w:rsidP="00225E6A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Se plantea</w:t>
      </w:r>
      <w:r>
        <w:rPr>
          <w:rFonts w:ascii="Arial" w:hAnsi="Arial" w:cs="Arial"/>
          <w:sz w:val="22"/>
          <w:szCs w:val="22"/>
        </w:rPr>
        <w:t xml:space="preserve"> como actuación la a</w:t>
      </w:r>
      <w:r w:rsidRPr="005424FE">
        <w:rPr>
          <w:rFonts w:ascii="Arial" w:hAnsi="Arial" w:cs="Arial"/>
          <w:sz w:val="22"/>
          <w:szCs w:val="22"/>
        </w:rPr>
        <w:t>yuda a empresas privadas para almacenamiento energético.</w:t>
      </w:r>
    </w:p>
    <w:p w:rsidR="008620A4" w:rsidRDefault="005424FE" w:rsidP="00225E6A">
      <w:pPr>
        <w:spacing w:before="120" w:after="120"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424FE">
        <w:rPr>
          <w:rFonts w:ascii="Arial" w:hAnsi="Arial" w:cs="Arial"/>
          <w:sz w:val="22"/>
          <w:szCs w:val="22"/>
        </w:rPr>
        <w:t>Con un mayor nivel de detalle y para el ejercicio 2022, las actuaciones a desarrol</w:t>
      </w:r>
      <w:r>
        <w:rPr>
          <w:rFonts w:ascii="Arial" w:hAnsi="Arial" w:cs="Arial"/>
          <w:sz w:val="22"/>
          <w:szCs w:val="22"/>
        </w:rPr>
        <w:t>lar por el IDAE se centrarán en el a</w:t>
      </w:r>
      <w:r w:rsidRPr="005424FE">
        <w:rPr>
          <w:rFonts w:ascii="Arial" w:hAnsi="Arial" w:cs="Arial"/>
          <w:sz w:val="22"/>
          <w:szCs w:val="22"/>
        </w:rPr>
        <w:t xml:space="preserve">lmacenamiento e </w:t>
      </w:r>
      <w:r>
        <w:rPr>
          <w:rFonts w:ascii="Arial" w:hAnsi="Arial" w:cs="Arial"/>
          <w:sz w:val="22"/>
          <w:szCs w:val="22"/>
        </w:rPr>
        <w:t>i</w:t>
      </w:r>
      <w:r w:rsidRPr="005424FE">
        <w:rPr>
          <w:rFonts w:ascii="Arial" w:hAnsi="Arial" w:cs="Arial"/>
          <w:sz w:val="22"/>
          <w:szCs w:val="22"/>
        </w:rPr>
        <w:t>nfraestructuras inteligentes</w:t>
      </w:r>
      <w:r>
        <w:rPr>
          <w:rFonts w:ascii="Arial" w:hAnsi="Arial" w:cs="Arial"/>
          <w:sz w:val="22"/>
          <w:szCs w:val="22"/>
        </w:rPr>
        <w:t>, a</w:t>
      </w:r>
      <w:r w:rsidRPr="005424FE">
        <w:rPr>
          <w:rFonts w:ascii="Arial" w:hAnsi="Arial" w:cs="Arial"/>
          <w:sz w:val="22"/>
          <w:szCs w:val="22"/>
        </w:rPr>
        <w:t xml:space="preserve">ctuando mediante inversiones y mecanismos de apoyo relacionados con el despliegue del almacenamiento energético, así como la gestión de su segunda vida y reciclado, la gestión de la demanda, </w:t>
      </w:r>
      <w:proofErr w:type="spellStart"/>
      <w:r w:rsidRPr="005424FE">
        <w:rPr>
          <w:rFonts w:ascii="Arial" w:hAnsi="Arial" w:cs="Arial"/>
          <w:sz w:val="22"/>
          <w:szCs w:val="22"/>
        </w:rPr>
        <w:t>agregadores</w:t>
      </w:r>
      <w:proofErr w:type="spellEnd"/>
      <w:r w:rsidRPr="005424FE">
        <w:rPr>
          <w:rFonts w:ascii="Arial" w:hAnsi="Arial" w:cs="Arial"/>
          <w:sz w:val="22"/>
          <w:szCs w:val="22"/>
        </w:rPr>
        <w:t xml:space="preserve">, servicios de flexibilidad, acceso al dato y </w:t>
      </w:r>
      <w:proofErr w:type="spellStart"/>
      <w:r w:rsidRPr="005424FE">
        <w:rPr>
          <w:rFonts w:ascii="Arial" w:hAnsi="Arial" w:cs="Arial"/>
          <w:sz w:val="22"/>
          <w:szCs w:val="22"/>
        </w:rPr>
        <w:t>sandboxes</w:t>
      </w:r>
      <w:proofErr w:type="spellEnd"/>
      <w:r w:rsidR="00B23CCA">
        <w:rPr>
          <w:rFonts w:ascii="Arial" w:hAnsi="Arial" w:cs="Arial"/>
          <w:sz w:val="22"/>
          <w:szCs w:val="22"/>
        </w:rPr>
        <w:t>.</w:t>
      </w:r>
    </w:p>
    <w:sectPr w:rsidR="008620A4" w:rsidSect="00AA395E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E30"/>
    <w:multiLevelType w:val="hybridMultilevel"/>
    <w:tmpl w:val="B7D2A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11B63"/>
    <w:multiLevelType w:val="hybridMultilevel"/>
    <w:tmpl w:val="ABF082FA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56E09"/>
    <w:multiLevelType w:val="hybridMultilevel"/>
    <w:tmpl w:val="1AA6C46C"/>
    <w:lvl w:ilvl="0" w:tplc="3C62EF1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04A0"/>
    <w:multiLevelType w:val="hybridMultilevel"/>
    <w:tmpl w:val="1F14AE22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779FD"/>
    <w:multiLevelType w:val="hybridMultilevel"/>
    <w:tmpl w:val="63FAC3CC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9300A"/>
    <w:multiLevelType w:val="hybridMultilevel"/>
    <w:tmpl w:val="76CE4A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52050"/>
    <w:multiLevelType w:val="hybridMultilevel"/>
    <w:tmpl w:val="BCBAC484"/>
    <w:lvl w:ilvl="0" w:tplc="629C8C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92A6A"/>
    <w:rsid w:val="000A1311"/>
    <w:rsid w:val="000C68A4"/>
    <w:rsid w:val="000F3FBB"/>
    <w:rsid w:val="00106A6D"/>
    <w:rsid w:val="001621B9"/>
    <w:rsid w:val="001A5F87"/>
    <w:rsid w:val="001B34B9"/>
    <w:rsid w:val="00225E6A"/>
    <w:rsid w:val="00257645"/>
    <w:rsid w:val="002E3DB9"/>
    <w:rsid w:val="002F0C59"/>
    <w:rsid w:val="003154A2"/>
    <w:rsid w:val="003208C4"/>
    <w:rsid w:val="00343745"/>
    <w:rsid w:val="00382F6E"/>
    <w:rsid w:val="003A7E9B"/>
    <w:rsid w:val="003D56D8"/>
    <w:rsid w:val="0046397C"/>
    <w:rsid w:val="004A3CC3"/>
    <w:rsid w:val="00517824"/>
    <w:rsid w:val="005424FE"/>
    <w:rsid w:val="005570AD"/>
    <w:rsid w:val="00564761"/>
    <w:rsid w:val="005B477A"/>
    <w:rsid w:val="005C4BF4"/>
    <w:rsid w:val="006010D4"/>
    <w:rsid w:val="00646918"/>
    <w:rsid w:val="00655BF2"/>
    <w:rsid w:val="006C54B9"/>
    <w:rsid w:val="006F018F"/>
    <w:rsid w:val="0070353F"/>
    <w:rsid w:val="00737BB1"/>
    <w:rsid w:val="007B6373"/>
    <w:rsid w:val="007E37FC"/>
    <w:rsid w:val="007F3B1F"/>
    <w:rsid w:val="008076C5"/>
    <w:rsid w:val="008156FE"/>
    <w:rsid w:val="0081752E"/>
    <w:rsid w:val="008476C0"/>
    <w:rsid w:val="008620A4"/>
    <w:rsid w:val="00877EBA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A04914"/>
    <w:rsid w:val="00A06941"/>
    <w:rsid w:val="00A32DF7"/>
    <w:rsid w:val="00A44DEA"/>
    <w:rsid w:val="00A9503D"/>
    <w:rsid w:val="00AA395E"/>
    <w:rsid w:val="00AE318F"/>
    <w:rsid w:val="00B23CCA"/>
    <w:rsid w:val="00B30BB6"/>
    <w:rsid w:val="00B6769D"/>
    <w:rsid w:val="00B80D92"/>
    <w:rsid w:val="00BB64BC"/>
    <w:rsid w:val="00BE5B5A"/>
    <w:rsid w:val="00C0204D"/>
    <w:rsid w:val="00C87CB2"/>
    <w:rsid w:val="00CA5DBC"/>
    <w:rsid w:val="00CB75ED"/>
    <w:rsid w:val="00D46D8D"/>
    <w:rsid w:val="00DB77BF"/>
    <w:rsid w:val="00E672BD"/>
    <w:rsid w:val="00ED092E"/>
    <w:rsid w:val="00EE577C"/>
    <w:rsid w:val="00F23DCF"/>
    <w:rsid w:val="00F77318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E1A33-9369-49B8-A587-A285FCA9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539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Diaz Martinez, Ruben</cp:lastModifiedBy>
  <cp:revision>32</cp:revision>
  <cp:lastPrinted>2021-06-09T11:44:00Z</cp:lastPrinted>
  <dcterms:created xsi:type="dcterms:W3CDTF">2021-06-30T13:32:00Z</dcterms:created>
  <dcterms:modified xsi:type="dcterms:W3CDTF">2022-01-19T13:56:00Z</dcterms:modified>
</cp:coreProperties>
</file>